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5F1" w:rsidRDefault="009875F1" w:rsidP="009875F1">
      <w:pPr>
        <w:rPr>
          <w:rFonts w:ascii="Calibri" w:hAnsi="Calibri"/>
          <w:sz w:val="22"/>
          <w:szCs w:val="22"/>
        </w:rPr>
      </w:pPr>
      <w:proofErr w:type="spellStart"/>
      <w:r w:rsidRPr="00B37513">
        <w:rPr>
          <w:rFonts w:ascii="Calibri" w:hAnsi="Calibri"/>
          <w:sz w:val="22"/>
          <w:szCs w:val="22"/>
        </w:rPr>
        <w:t>Self Assessment</w:t>
      </w:r>
      <w:proofErr w:type="spellEnd"/>
      <w:r w:rsidRPr="00B37513">
        <w:rPr>
          <w:rFonts w:ascii="Calibri" w:hAnsi="Calibri"/>
          <w:sz w:val="22"/>
          <w:szCs w:val="22"/>
        </w:rPr>
        <w:t xml:space="preserve">: </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cs="Arial"/>
          <w:sz w:val="22"/>
          <w:szCs w:val="22"/>
        </w:rPr>
        <w:t>1.  After completing a full rule-out sepsis work-up on a 1-week-old girl with bronchiolitis and fever to 38.5, your next step in management is to:</w:t>
      </w:r>
    </w:p>
    <w:p w:rsidR="009875F1" w:rsidRPr="00B37513" w:rsidRDefault="009875F1" w:rsidP="009875F1">
      <w:pPr>
        <w:rPr>
          <w:rFonts w:ascii="Calibri" w:hAnsi="Calibri" w:cs="Arial"/>
          <w:sz w:val="22"/>
          <w:szCs w:val="22"/>
        </w:rPr>
      </w:pPr>
    </w:p>
    <w:p w:rsidR="009875F1" w:rsidRPr="00B37513" w:rsidRDefault="009875F1" w:rsidP="009875F1">
      <w:pPr>
        <w:numPr>
          <w:ilvl w:val="0"/>
          <w:numId w:val="1"/>
        </w:numPr>
        <w:rPr>
          <w:rFonts w:ascii="Calibri" w:hAnsi="Calibri" w:cs="Arial"/>
          <w:sz w:val="22"/>
          <w:szCs w:val="22"/>
        </w:rPr>
      </w:pPr>
      <w:r w:rsidRPr="00B37513">
        <w:rPr>
          <w:rFonts w:ascii="Calibri" w:hAnsi="Calibri" w:cs="Arial"/>
          <w:sz w:val="22"/>
          <w:szCs w:val="22"/>
        </w:rPr>
        <w:t>Observe and provide supportive care with frequent suctioning and supplemental oxygen</w:t>
      </w:r>
    </w:p>
    <w:p w:rsidR="009875F1" w:rsidRPr="00B37513" w:rsidRDefault="009875F1" w:rsidP="009875F1">
      <w:pPr>
        <w:numPr>
          <w:ilvl w:val="0"/>
          <w:numId w:val="1"/>
        </w:numPr>
        <w:rPr>
          <w:rFonts w:ascii="Calibri" w:hAnsi="Calibri" w:cs="Arial"/>
          <w:sz w:val="22"/>
          <w:szCs w:val="22"/>
        </w:rPr>
      </w:pPr>
      <w:r w:rsidRPr="00B37513">
        <w:rPr>
          <w:rFonts w:ascii="Calibri" w:hAnsi="Calibri" w:cs="Arial"/>
          <w:sz w:val="22"/>
          <w:szCs w:val="22"/>
        </w:rPr>
        <w:t xml:space="preserve">Initiate treatment with ceftriaxone 50 mg/kg/dose IV q24 </w:t>
      </w:r>
      <w:proofErr w:type="spellStart"/>
      <w:r w:rsidRPr="00B37513">
        <w:rPr>
          <w:rFonts w:ascii="Calibri" w:hAnsi="Calibri" w:cs="Arial"/>
          <w:sz w:val="22"/>
          <w:szCs w:val="22"/>
        </w:rPr>
        <w:t>hrs</w:t>
      </w:r>
      <w:proofErr w:type="spellEnd"/>
    </w:p>
    <w:p w:rsidR="009875F1" w:rsidRPr="00B37513" w:rsidRDefault="009875F1" w:rsidP="009875F1">
      <w:pPr>
        <w:numPr>
          <w:ilvl w:val="0"/>
          <w:numId w:val="1"/>
        </w:numPr>
        <w:rPr>
          <w:rFonts w:ascii="Calibri" w:hAnsi="Calibri" w:cs="Arial"/>
          <w:sz w:val="22"/>
          <w:szCs w:val="22"/>
        </w:rPr>
      </w:pPr>
      <w:r w:rsidRPr="00B37513">
        <w:rPr>
          <w:rFonts w:ascii="Calibri" w:hAnsi="Calibri" w:cs="Arial"/>
          <w:sz w:val="22"/>
          <w:szCs w:val="22"/>
        </w:rPr>
        <w:t xml:space="preserve">Initiate treatment with ceftriaxone 50 mg/kg/dose IV q12 </w:t>
      </w:r>
      <w:proofErr w:type="spellStart"/>
      <w:r w:rsidRPr="00B37513">
        <w:rPr>
          <w:rFonts w:ascii="Calibri" w:hAnsi="Calibri" w:cs="Arial"/>
          <w:sz w:val="22"/>
          <w:szCs w:val="22"/>
        </w:rPr>
        <w:t>hrs</w:t>
      </w:r>
      <w:proofErr w:type="spellEnd"/>
    </w:p>
    <w:p w:rsidR="009875F1" w:rsidRPr="00B37513" w:rsidRDefault="009875F1" w:rsidP="009875F1">
      <w:pPr>
        <w:numPr>
          <w:ilvl w:val="0"/>
          <w:numId w:val="1"/>
        </w:numPr>
        <w:rPr>
          <w:rFonts w:ascii="Calibri" w:hAnsi="Calibri" w:cs="Arial"/>
          <w:sz w:val="22"/>
          <w:szCs w:val="22"/>
        </w:rPr>
      </w:pPr>
      <w:r w:rsidRPr="00B37513">
        <w:rPr>
          <w:rFonts w:ascii="Calibri" w:hAnsi="Calibri" w:cs="Arial"/>
          <w:sz w:val="22"/>
          <w:szCs w:val="22"/>
        </w:rPr>
        <w:t xml:space="preserve">Initiate treatment with ampicillin 100 mg/kg/dose IV q6 </w:t>
      </w:r>
      <w:proofErr w:type="spellStart"/>
      <w:r w:rsidRPr="00B37513">
        <w:rPr>
          <w:rFonts w:ascii="Calibri" w:hAnsi="Calibri" w:cs="Arial"/>
          <w:sz w:val="22"/>
          <w:szCs w:val="22"/>
        </w:rPr>
        <w:t>hrs</w:t>
      </w:r>
      <w:proofErr w:type="spellEnd"/>
      <w:r w:rsidRPr="00B37513">
        <w:rPr>
          <w:rFonts w:ascii="Calibri" w:hAnsi="Calibri" w:cs="Arial"/>
          <w:sz w:val="22"/>
          <w:szCs w:val="22"/>
        </w:rPr>
        <w:t xml:space="preserve"> and cefotaxime 50 mg/kg/dose IV q6 </w:t>
      </w:r>
      <w:proofErr w:type="spellStart"/>
      <w:r w:rsidRPr="00B37513">
        <w:rPr>
          <w:rFonts w:ascii="Calibri" w:hAnsi="Calibri" w:cs="Arial"/>
          <w:sz w:val="22"/>
          <w:szCs w:val="22"/>
        </w:rPr>
        <w:t>hrs</w:t>
      </w:r>
      <w:proofErr w:type="spellEnd"/>
    </w:p>
    <w:p w:rsidR="009875F1" w:rsidRPr="00B37513" w:rsidRDefault="009875F1" w:rsidP="009875F1">
      <w:pPr>
        <w:numPr>
          <w:ilvl w:val="0"/>
          <w:numId w:val="1"/>
        </w:numPr>
        <w:rPr>
          <w:rFonts w:ascii="Calibri" w:hAnsi="Calibri" w:cs="Arial"/>
          <w:sz w:val="22"/>
          <w:szCs w:val="22"/>
        </w:rPr>
      </w:pPr>
      <w:r w:rsidRPr="00B37513">
        <w:rPr>
          <w:rFonts w:ascii="Calibri" w:hAnsi="Calibri" w:cs="Arial"/>
          <w:sz w:val="22"/>
          <w:szCs w:val="22"/>
        </w:rPr>
        <w:t xml:space="preserve">Initiate treatment with acyclovir 20 mg/kg/dose IV q8 </w:t>
      </w:r>
      <w:proofErr w:type="spellStart"/>
      <w:r w:rsidRPr="00B37513">
        <w:rPr>
          <w:rFonts w:ascii="Calibri" w:hAnsi="Calibri" w:cs="Arial"/>
          <w:sz w:val="22"/>
          <w:szCs w:val="22"/>
        </w:rPr>
        <w:t>hrs</w:t>
      </w:r>
      <w:proofErr w:type="spellEnd"/>
    </w:p>
    <w:p w:rsidR="009875F1" w:rsidRPr="00B37513" w:rsidRDefault="009875F1" w:rsidP="009875F1">
      <w:pPr>
        <w:spacing w:before="240"/>
        <w:rPr>
          <w:rFonts w:ascii="Calibri" w:hAnsi="Calibri" w:cs="Arial"/>
          <w:color w:val="000000" w:themeColor="text1"/>
          <w:sz w:val="22"/>
          <w:szCs w:val="22"/>
        </w:rPr>
      </w:pPr>
      <w:r w:rsidRPr="00B37513">
        <w:rPr>
          <w:rFonts w:ascii="Calibri" w:hAnsi="Calibri"/>
          <w:b/>
          <w:bCs/>
          <w:color w:val="000000" w:themeColor="text1"/>
          <w:sz w:val="22"/>
          <w:szCs w:val="22"/>
        </w:rPr>
        <w:t>D)</w:t>
      </w:r>
      <w:r w:rsidRPr="00B37513">
        <w:rPr>
          <w:rFonts w:ascii="Calibri" w:hAnsi="Calibri" w:cs="Arial"/>
          <w:color w:val="000000" w:themeColor="text1"/>
          <w:sz w:val="22"/>
          <w:szCs w:val="22"/>
        </w:rPr>
        <w:t xml:space="preserve"> In children less than 2 months of age, the rate of a serious bacterial illness is between 5-9%.  Common bacterial organisms in this age group include </w:t>
      </w:r>
      <w:r w:rsidRPr="00B37513">
        <w:rPr>
          <w:rFonts w:ascii="Calibri" w:hAnsi="Calibri" w:cs="Arial"/>
          <w:i/>
          <w:color w:val="000000" w:themeColor="text1"/>
          <w:sz w:val="22"/>
          <w:szCs w:val="22"/>
        </w:rPr>
        <w:t xml:space="preserve">E. Coli, Klebsiella, </w:t>
      </w:r>
      <w:r w:rsidRPr="00B37513">
        <w:rPr>
          <w:rFonts w:ascii="Calibri" w:hAnsi="Calibri" w:cs="Arial"/>
          <w:color w:val="000000" w:themeColor="text1"/>
          <w:sz w:val="22"/>
          <w:szCs w:val="22"/>
        </w:rPr>
        <w:t xml:space="preserve">Group B </w:t>
      </w:r>
      <w:r w:rsidRPr="00B37513">
        <w:rPr>
          <w:rFonts w:ascii="Calibri" w:hAnsi="Calibri" w:cs="Arial"/>
          <w:i/>
          <w:color w:val="000000" w:themeColor="text1"/>
          <w:sz w:val="22"/>
          <w:szCs w:val="22"/>
        </w:rPr>
        <w:t>Streptococcus, Enterococcus, Enterobacter, and Listeria.</w:t>
      </w:r>
      <w:r w:rsidRPr="00B37513">
        <w:rPr>
          <w:rFonts w:ascii="Calibri" w:hAnsi="Calibri" w:cs="Arial"/>
          <w:color w:val="000000" w:themeColor="text1"/>
          <w:sz w:val="22"/>
          <w:szCs w:val="22"/>
        </w:rPr>
        <w:t xml:space="preserve">  Although a viral illness decreases the chance of a bacterial infection, it does not eliminate the risk.  Since the risk of bacteremia in febrile infants with cold symptoms is the same as those without cold symptoms, the workup should be done regardless.  Because of the infant’s age is less than 2 months, she is at risk of a serious bacterial infection (including bacteremia, UTI, or meningitis).  Once cultures are obtained, empiric therapy should be started with ampicillin (to cover </w:t>
      </w:r>
      <w:r w:rsidRPr="00B37513">
        <w:rPr>
          <w:rFonts w:ascii="Calibri" w:hAnsi="Calibri" w:cs="Arial"/>
          <w:i/>
          <w:color w:val="000000" w:themeColor="text1"/>
          <w:sz w:val="22"/>
          <w:szCs w:val="22"/>
        </w:rPr>
        <w:t>Listeria</w:t>
      </w:r>
      <w:r w:rsidRPr="00B37513">
        <w:rPr>
          <w:rFonts w:ascii="Calibri" w:hAnsi="Calibri" w:cs="Arial"/>
          <w:color w:val="000000" w:themeColor="text1"/>
          <w:sz w:val="22"/>
          <w:szCs w:val="22"/>
        </w:rPr>
        <w:t xml:space="preserve"> and Group B </w:t>
      </w:r>
      <w:r w:rsidRPr="00B37513">
        <w:rPr>
          <w:rFonts w:ascii="Calibri" w:hAnsi="Calibri" w:cs="Arial"/>
          <w:i/>
          <w:color w:val="000000" w:themeColor="text1"/>
          <w:sz w:val="22"/>
          <w:szCs w:val="22"/>
        </w:rPr>
        <w:t>Streptococcus</w:t>
      </w:r>
      <w:r w:rsidRPr="00B37513">
        <w:rPr>
          <w:rFonts w:ascii="Calibri" w:hAnsi="Calibri" w:cs="Arial"/>
          <w:color w:val="000000" w:themeColor="text1"/>
          <w:sz w:val="22"/>
          <w:szCs w:val="22"/>
        </w:rPr>
        <w:t xml:space="preserve">) and cefotaxime (to cover gram negatives).  Until the CSF results are known and meningitis is ruled-out, </w:t>
      </w:r>
      <w:proofErr w:type="spellStart"/>
      <w:r w:rsidRPr="00B37513">
        <w:rPr>
          <w:rFonts w:ascii="Calibri" w:hAnsi="Calibri" w:cs="Arial"/>
          <w:color w:val="000000" w:themeColor="text1"/>
          <w:sz w:val="22"/>
          <w:szCs w:val="22"/>
        </w:rPr>
        <w:t>meningitic</w:t>
      </w:r>
      <w:proofErr w:type="spellEnd"/>
      <w:r w:rsidRPr="00B37513">
        <w:rPr>
          <w:rFonts w:ascii="Calibri" w:hAnsi="Calibri" w:cs="Arial"/>
          <w:color w:val="000000" w:themeColor="text1"/>
          <w:sz w:val="22"/>
          <w:szCs w:val="22"/>
        </w:rPr>
        <w:t xml:space="preserve"> doses should be started empirically.  Because of her young age and potential hyperbilirubinemia caused by displacement of bilirubin from albumin by ceftriaxone, ampicillin and cefotaxime were chosen as first-line antibiotics.</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 xml:space="preserve">2. A 2-week-old full-term male neonate has been hospitalized for 2 days after being brought to the emergency department for evaluation of fever. He was well until 1 day prior to admission when he developed fussiness and was noted to have a temperature of 38.5°C at home. In the emergency department, blood and urine specimens were obtained; however, his parents refused permission to perform a lumbar puncture. He has been receiving ampicillin 50 mg/kg/dose intravenously every 6 hours and gentamicin 4 mg/kg intravenously daily. He has had ongoing fever during the hospitalization, and his parents state that he continues to be fussy. He has a temperature of 38°C, heart rate of 153 beats/min, respiratory rate of 42 breaths/min, and blood pressure of 88/61 mm Hg. He is irritable, and there are scattered red macules with overlying pustules over the thorax. The remainder of the physical examination findings are normal. </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Laboratory data are shown:</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 xml:space="preserve">Laboratory </w:t>
      </w:r>
      <w:proofErr w:type="gramStart"/>
      <w:r w:rsidRPr="00B37513">
        <w:rPr>
          <w:rFonts w:ascii="Calibri" w:hAnsi="Calibri"/>
          <w:sz w:val="22"/>
          <w:szCs w:val="22"/>
        </w:rPr>
        <w:t>test</w:t>
      </w:r>
      <w:r w:rsidR="003B4A76">
        <w:rPr>
          <w:rFonts w:ascii="Calibri" w:hAnsi="Calibri"/>
          <w:sz w:val="22"/>
          <w:szCs w:val="22"/>
        </w:rPr>
        <w:t xml:space="preserve">  </w:t>
      </w:r>
      <w:r w:rsidRPr="00B37513">
        <w:rPr>
          <w:rFonts w:ascii="Calibri" w:hAnsi="Calibri"/>
          <w:sz w:val="22"/>
          <w:szCs w:val="22"/>
        </w:rPr>
        <w:t>Result</w:t>
      </w:r>
      <w:proofErr w:type="gramEnd"/>
    </w:p>
    <w:p w:rsidR="009875F1" w:rsidRPr="00B37513" w:rsidRDefault="009875F1" w:rsidP="009875F1">
      <w:pPr>
        <w:rPr>
          <w:rFonts w:ascii="Calibri" w:hAnsi="Calibri"/>
          <w:sz w:val="22"/>
          <w:szCs w:val="22"/>
        </w:rPr>
      </w:pPr>
      <w:r w:rsidRPr="00B37513">
        <w:rPr>
          <w:rFonts w:ascii="Calibri" w:hAnsi="Calibri"/>
          <w:sz w:val="22"/>
          <w:szCs w:val="22"/>
        </w:rPr>
        <w:t>Blood culture</w:t>
      </w:r>
      <w:r w:rsidRPr="00B37513">
        <w:rPr>
          <w:rFonts w:ascii="Calibri" w:hAnsi="Calibri"/>
          <w:sz w:val="22"/>
          <w:szCs w:val="22"/>
        </w:rPr>
        <w:tab/>
        <w:t>Pending</w:t>
      </w:r>
    </w:p>
    <w:p w:rsidR="009875F1" w:rsidRPr="00B37513" w:rsidRDefault="009875F1" w:rsidP="009875F1">
      <w:pPr>
        <w:rPr>
          <w:rFonts w:ascii="Calibri" w:hAnsi="Calibri"/>
          <w:sz w:val="22"/>
          <w:szCs w:val="22"/>
        </w:rPr>
      </w:pPr>
      <w:r w:rsidRPr="00B37513">
        <w:rPr>
          <w:rFonts w:ascii="Calibri" w:hAnsi="Calibri"/>
          <w:sz w:val="22"/>
          <w:szCs w:val="22"/>
        </w:rPr>
        <w:t>Urine culture</w:t>
      </w:r>
      <w:r w:rsidRPr="00B37513">
        <w:rPr>
          <w:rFonts w:ascii="Calibri" w:hAnsi="Calibri"/>
          <w:sz w:val="22"/>
          <w:szCs w:val="22"/>
        </w:rPr>
        <w:tab/>
        <w:t>Escherichia coli</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Escherichia coli susceptibilities are shown:</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 xml:space="preserve">Laboratory </w:t>
      </w:r>
      <w:proofErr w:type="gramStart"/>
      <w:r w:rsidRPr="00B37513">
        <w:rPr>
          <w:rFonts w:ascii="Calibri" w:hAnsi="Calibri"/>
          <w:sz w:val="22"/>
          <w:szCs w:val="22"/>
        </w:rPr>
        <w:t>test</w:t>
      </w:r>
      <w:r w:rsidR="003B4A76">
        <w:rPr>
          <w:rFonts w:ascii="Calibri" w:hAnsi="Calibri"/>
          <w:sz w:val="22"/>
          <w:szCs w:val="22"/>
        </w:rPr>
        <w:t xml:space="preserve">  </w:t>
      </w:r>
      <w:r w:rsidRPr="00B37513">
        <w:rPr>
          <w:rFonts w:ascii="Calibri" w:hAnsi="Calibri"/>
          <w:sz w:val="22"/>
          <w:szCs w:val="22"/>
        </w:rPr>
        <w:t>Result</w:t>
      </w:r>
      <w:proofErr w:type="gramEnd"/>
    </w:p>
    <w:p w:rsidR="009875F1" w:rsidRPr="00B37513" w:rsidRDefault="009875F1" w:rsidP="009875F1">
      <w:pPr>
        <w:rPr>
          <w:rFonts w:ascii="Calibri" w:hAnsi="Calibri"/>
          <w:sz w:val="22"/>
          <w:szCs w:val="22"/>
        </w:rPr>
      </w:pPr>
      <w:r w:rsidRPr="00B37513">
        <w:rPr>
          <w:rFonts w:ascii="Calibri" w:hAnsi="Calibri"/>
          <w:sz w:val="22"/>
          <w:szCs w:val="22"/>
        </w:rPr>
        <w:t>Ampicillin</w:t>
      </w:r>
      <w:r w:rsidRPr="00B37513">
        <w:rPr>
          <w:rFonts w:ascii="Calibri" w:hAnsi="Calibri"/>
          <w:sz w:val="22"/>
          <w:szCs w:val="22"/>
        </w:rPr>
        <w:tab/>
        <w:t>≥ 32, resistant</w:t>
      </w:r>
    </w:p>
    <w:p w:rsidR="009875F1" w:rsidRPr="00B37513" w:rsidRDefault="009875F1" w:rsidP="009875F1">
      <w:pPr>
        <w:rPr>
          <w:rFonts w:ascii="Calibri" w:hAnsi="Calibri"/>
          <w:sz w:val="22"/>
          <w:szCs w:val="22"/>
        </w:rPr>
      </w:pPr>
      <w:r w:rsidRPr="00B37513">
        <w:rPr>
          <w:rFonts w:ascii="Calibri" w:hAnsi="Calibri"/>
          <w:sz w:val="22"/>
          <w:szCs w:val="22"/>
        </w:rPr>
        <w:t>Ceftriaxone</w:t>
      </w:r>
      <w:r w:rsidRPr="00B37513">
        <w:rPr>
          <w:rFonts w:ascii="Calibri" w:hAnsi="Calibri"/>
          <w:sz w:val="22"/>
          <w:szCs w:val="22"/>
        </w:rPr>
        <w:tab/>
        <w:t>≥ 64, resistant</w:t>
      </w:r>
    </w:p>
    <w:p w:rsidR="009875F1" w:rsidRPr="00B37513" w:rsidRDefault="009875F1" w:rsidP="009875F1">
      <w:pPr>
        <w:rPr>
          <w:rFonts w:ascii="Calibri" w:hAnsi="Calibri"/>
          <w:sz w:val="22"/>
          <w:szCs w:val="22"/>
        </w:rPr>
      </w:pPr>
      <w:r w:rsidRPr="00B37513">
        <w:rPr>
          <w:rFonts w:ascii="Calibri" w:hAnsi="Calibri"/>
          <w:sz w:val="22"/>
          <w:szCs w:val="22"/>
        </w:rPr>
        <w:t>Ciprofloxacin</w:t>
      </w:r>
      <w:r w:rsidRPr="00B37513">
        <w:rPr>
          <w:rFonts w:ascii="Calibri" w:hAnsi="Calibri"/>
          <w:sz w:val="22"/>
          <w:szCs w:val="22"/>
        </w:rPr>
        <w:tab/>
        <w:t>≤ 0.25, susceptible</w:t>
      </w:r>
    </w:p>
    <w:p w:rsidR="009875F1" w:rsidRPr="00B37513" w:rsidRDefault="009875F1" w:rsidP="009875F1">
      <w:pPr>
        <w:rPr>
          <w:rFonts w:ascii="Calibri" w:hAnsi="Calibri"/>
          <w:sz w:val="22"/>
          <w:szCs w:val="22"/>
        </w:rPr>
      </w:pPr>
      <w:r w:rsidRPr="00B37513">
        <w:rPr>
          <w:rFonts w:ascii="Calibri" w:hAnsi="Calibri"/>
          <w:sz w:val="22"/>
          <w:szCs w:val="22"/>
        </w:rPr>
        <w:lastRenderedPageBreak/>
        <w:t>Gentamicin</w:t>
      </w:r>
      <w:r w:rsidRPr="00B37513">
        <w:rPr>
          <w:rFonts w:ascii="Calibri" w:hAnsi="Calibri"/>
          <w:sz w:val="22"/>
          <w:szCs w:val="22"/>
        </w:rPr>
        <w:tab/>
        <w:t>≤ 1, susceptible</w:t>
      </w:r>
    </w:p>
    <w:p w:rsidR="009875F1" w:rsidRPr="00B37513" w:rsidRDefault="009875F1" w:rsidP="009875F1">
      <w:pPr>
        <w:rPr>
          <w:rFonts w:ascii="Calibri" w:hAnsi="Calibri"/>
          <w:sz w:val="22"/>
          <w:szCs w:val="22"/>
        </w:rPr>
      </w:pPr>
      <w:r w:rsidRPr="00B37513">
        <w:rPr>
          <w:rFonts w:ascii="Calibri" w:hAnsi="Calibri"/>
          <w:sz w:val="22"/>
          <w:szCs w:val="22"/>
        </w:rPr>
        <w:t>Meropenem</w:t>
      </w:r>
      <w:r w:rsidRPr="00B37513">
        <w:rPr>
          <w:rFonts w:ascii="Calibri" w:hAnsi="Calibri"/>
          <w:sz w:val="22"/>
          <w:szCs w:val="22"/>
        </w:rPr>
        <w:tab/>
        <w:t>≤ 0.25, susceptible</w:t>
      </w:r>
    </w:p>
    <w:p w:rsidR="009875F1" w:rsidRPr="00B37513" w:rsidRDefault="009875F1" w:rsidP="009875F1">
      <w:pPr>
        <w:rPr>
          <w:rFonts w:ascii="Calibri" w:hAnsi="Calibri"/>
          <w:sz w:val="22"/>
          <w:szCs w:val="22"/>
        </w:rPr>
      </w:pPr>
      <w:r w:rsidRPr="00B37513">
        <w:rPr>
          <w:rFonts w:ascii="Calibri" w:hAnsi="Calibri"/>
          <w:sz w:val="22"/>
          <w:szCs w:val="22"/>
        </w:rPr>
        <w:t>Nitrofurantoin</w:t>
      </w:r>
      <w:r w:rsidRPr="00B37513">
        <w:rPr>
          <w:rFonts w:ascii="Calibri" w:hAnsi="Calibri"/>
          <w:sz w:val="22"/>
          <w:szCs w:val="22"/>
        </w:rPr>
        <w:tab/>
        <w:t>≤ 32, susceptible</w:t>
      </w:r>
    </w:p>
    <w:p w:rsidR="009875F1" w:rsidRPr="00B37513" w:rsidRDefault="009875F1" w:rsidP="009875F1">
      <w:pPr>
        <w:rPr>
          <w:rFonts w:ascii="Calibri" w:hAnsi="Calibri"/>
          <w:sz w:val="22"/>
          <w:szCs w:val="22"/>
        </w:rPr>
      </w:pPr>
      <w:r w:rsidRPr="00B37513">
        <w:rPr>
          <w:rFonts w:ascii="Calibri" w:hAnsi="Calibri"/>
          <w:sz w:val="22"/>
          <w:szCs w:val="22"/>
        </w:rPr>
        <w:t>Trimethoprim-sulfamethoxazole</w:t>
      </w:r>
      <w:r w:rsidRPr="00B37513">
        <w:rPr>
          <w:rFonts w:ascii="Calibri" w:hAnsi="Calibri"/>
          <w:sz w:val="22"/>
          <w:szCs w:val="22"/>
        </w:rPr>
        <w:tab/>
        <w:t>≤ 20, susceptible</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 xml:space="preserve">Of the following, the MOST appropriate antibiotic to use as monotherapy for this patient’s infection is </w:t>
      </w:r>
    </w:p>
    <w:p w:rsidR="009875F1" w:rsidRDefault="009875F1" w:rsidP="009875F1">
      <w:pPr>
        <w:rPr>
          <w:rFonts w:ascii="Calibri" w:hAnsi="Calibri"/>
          <w:sz w:val="22"/>
          <w:szCs w:val="22"/>
        </w:rPr>
      </w:pPr>
      <w:r w:rsidRPr="00B37513">
        <w:rPr>
          <w:rFonts w:ascii="Calibri" w:hAnsi="Calibri"/>
          <w:sz w:val="22"/>
          <w:szCs w:val="22"/>
        </w:rPr>
        <w:t>Incorrect</w:t>
      </w:r>
      <w:r w:rsidRPr="00B37513">
        <w:rPr>
          <w:rFonts w:ascii="Calibri" w:hAnsi="Calibri"/>
          <w:sz w:val="22"/>
          <w:szCs w:val="22"/>
        </w:rPr>
        <w:tab/>
      </w:r>
    </w:p>
    <w:p w:rsidR="009875F1" w:rsidRPr="00B37513" w:rsidRDefault="009875F1" w:rsidP="009875F1">
      <w:pPr>
        <w:ind w:firstLine="720"/>
        <w:rPr>
          <w:rFonts w:ascii="Calibri" w:hAnsi="Calibri"/>
          <w:sz w:val="22"/>
          <w:szCs w:val="22"/>
        </w:rPr>
      </w:pPr>
      <w:r w:rsidRPr="00B37513">
        <w:rPr>
          <w:rFonts w:ascii="Calibri" w:hAnsi="Calibri"/>
          <w:sz w:val="22"/>
          <w:szCs w:val="22"/>
        </w:rPr>
        <w:t>A.</w:t>
      </w:r>
      <w:r w:rsidRPr="00B37513">
        <w:rPr>
          <w:rFonts w:ascii="Calibri" w:hAnsi="Calibri"/>
          <w:sz w:val="22"/>
          <w:szCs w:val="22"/>
        </w:rPr>
        <w:tab/>
        <w:t>gentamicin</w:t>
      </w:r>
      <w:bookmarkStart w:id="0" w:name="_GoBack"/>
      <w:bookmarkEnd w:id="0"/>
    </w:p>
    <w:p w:rsidR="009875F1" w:rsidRPr="00B37513" w:rsidRDefault="009875F1" w:rsidP="009875F1">
      <w:pPr>
        <w:rPr>
          <w:rFonts w:ascii="Calibri" w:hAnsi="Calibri"/>
          <w:sz w:val="22"/>
          <w:szCs w:val="22"/>
        </w:rPr>
      </w:pPr>
      <w:r w:rsidRPr="00B37513">
        <w:rPr>
          <w:rFonts w:ascii="Calibri" w:hAnsi="Calibri"/>
          <w:sz w:val="22"/>
          <w:szCs w:val="22"/>
        </w:rPr>
        <w:tab/>
        <w:t>B.</w:t>
      </w:r>
      <w:r w:rsidRPr="00B37513">
        <w:rPr>
          <w:rFonts w:ascii="Calibri" w:hAnsi="Calibri"/>
          <w:sz w:val="22"/>
          <w:szCs w:val="22"/>
        </w:rPr>
        <w:tab/>
        <w:t>meropenem</w:t>
      </w:r>
    </w:p>
    <w:p w:rsidR="009875F1" w:rsidRPr="00B37513" w:rsidRDefault="009875F1" w:rsidP="009875F1">
      <w:pPr>
        <w:rPr>
          <w:rFonts w:ascii="Calibri" w:hAnsi="Calibri"/>
          <w:sz w:val="22"/>
          <w:szCs w:val="22"/>
        </w:rPr>
      </w:pPr>
      <w:r w:rsidRPr="00B37513">
        <w:rPr>
          <w:rFonts w:ascii="Calibri" w:hAnsi="Calibri"/>
          <w:sz w:val="22"/>
          <w:szCs w:val="22"/>
        </w:rPr>
        <w:tab/>
        <w:t>C.</w:t>
      </w:r>
      <w:r w:rsidRPr="00B37513">
        <w:rPr>
          <w:rFonts w:ascii="Calibri" w:hAnsi="Calibri"/>
          <w:sz w:val="22"/>
          <w:szCs w:val="22"/>
        </w:rPr>
        <w:tab/>
        <w:t>nitrofurantoin</w:t>
      </w:r>
    </w:p>
    <w:p w:rsidR="009875F1" w:rsidRPr="00B37513" w:rsidRDefault="009875F1" w:rsidP="009875F1">
      <w:pPr>
        <w:rPr>
          <w:rFonts w:ascii="Calibri" w:hAnsi="Calibri"/>
          <w:sz w:val="22"/>
          <w:szCs w:val="22"/>
        </w:rPr>
      </w:pPr>
      <w:r w:rsidRPr="00B37513">
        <w:rPr>
          <w:rFonts w:ascii="Calibri" w:hAnsi="Calibri"/>
          <w:sz w:val="22"/>
          <w:szCs w:val="22"/>
        </w:rPr>
        <w:tab/>
        <w:t>D.</w:t>
      </w:r>
      <w:r w:rsidRPr="00B37513">
        <w:rPr>
          <w:rFonts w:ascii="Calibri" w:hAnsi="Calibri"/>
          <w:sz w:val="22"/>
          <w:szCs w:val="22"/>
        </w:rPr>
        <w:tab/>
        <w:t>trimethoprim-sulfamethoxazole</w:t>
      </w:r>
    </w:p>
    <w:p w:rsidR="009875F1" w:rsidRPr="00B37513" w:rsidRDefault="009875F1" w:rsidP="009875F1">
      <w:pPr>
        <w:rPr>
          <w:rFonts w:ascii="Calibri" w:hAnsi="Calibri"/>
          <w:sz w:val="22"/>
          <w:szCs w:val="22"/>
        </w:rPr>
      </w:pPr>
    </w:p>
    <w:p w:rsidR="003B4A76" w:rsidRDefault="003B4A76"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Correct Answer: B</w:t>
      </w:r>
    </w:p>
    <w:p w:rsidR="009875F1"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MOCA-Peds Objectives</w:t>
      </w:r>
    </w:p>
    <w:p w:rsidR="009875F1" w:rsidRPr="00B37513" w:rsidRDefault="009875F1" w:rsidP="009875F1">
      <w:pPr>
        <w:rPr>
          <w:rFonts w:ascii="Calibri" w:hAnsi="Calibri"/>
          <w:sz w:val="22"/>
          <w:szCs w:val="22"/>
        </w:rPr>
      </w:pPr>
      <w:r w:rsidRPr="00B37513">
        <w:rPr>
          <w:rFonts w:ascii="Calibri" w:hAnsi="Calibri"/>
          <w:sz w:val="22"/>
          <w:szCs w:val="22"/>
        </w:rPr>
        <w:t xml:space="preserve">The most appropriate antibiotic to use as monotherapy for the neonate in this vignette is meropenem. A urinary tract infection caused by Escherichia coli is </w:t>
      </w:r>
      <w:proofErr w:type="gramStart"/>
      <w:r w:rsidRPr="00B37513">
        <w:rPr>
          <w:rFonts w:ascii="Calibri" w:hAnsi="Calibri"/>
          <w:sz w:val="22"/>
          <w:szCs w:val="22"/>
        </w:rPr>
        <w:t>present</w:t>
      </w:r>
      <w:proofErr w:type="gramEnd"/>
      <w:r w:rsidRPr="00B37513">
        <w:rPr>
          <w:rFonts w:ascii="Calibri" w:hAnsi="Calibri"/>
          <w:sz w:val="22"/>
          <w:szCs w:val="22"/>
        </w:rPr>
        <w:t xml:space="preserve"> but the neonate has not had evaluation of cerebrospinal fluid to rule out meningitis. The most appropriate antibiotic given the antimicrobial susceptibility pattern of the organism and incomplete evaluation for invasive infection is meropenem.</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While E coli are normal inhabitants of the human gastrointestinal tract, virulent strains have the potential to cause clinical syndromes including diarrheal illness, urinary tract infections, bacteremia, and meningitis. Diarrheagenic strains are typically acquired via contaminated food and water. The maternal genital tract is the usual source of infection in neonates that develop disease in the first few days after birth, although colonization can occur in the hospital setting via medical personnel, devices, or procedures.</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The organism is susceptible to gentamicin. This antibiotic would be an appropriate and more narrow therapy if the E coli infection were limited to the urinary tract. However, until meningitis is excluded, gentamicin monotherapy should not be used because aminoglycoside antibiotics have poor cerebrospinal fluid penetration.</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Nitrofurantoin should not be used in febrile urinary tract infections in young children. Nitrofurantoin does not have adequate kidney tissue penetration. In young children with febrile urinary tract infections, it is very difficult to discern cystitis from pyelonephritis. Therefore, antibiotics with good tissue penetration should be used given the possibility of renal parenchymal involvement.</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Trimethoprim-sulfamethoxazole is contraindicated in infants less than 2 months of age, per the manufacturer’s labeling. Sulfonamides displace bilirubin from their albumin-binding sites, leading to increases in bilirubin plasma levels. Additionally, trimethoprim-sulfamethoxazole has limited usefulness in the setting of meningitis, which has not been excluded in the patient in this vignette.</w:t>
      </w:r>
    </w:p>
    <w:p w:rsidR="009875F1" w:rsidRPr="00B37513" w:rsidRDefault="009875F1" w:rsidP="009875F1">
      <w:pPr>
        <w:rPr>
          <w:rFonts w:ascii="Calibri" w:hAnsi="Calibri"/>
          <w:sz w:val="22"/>
          <w:szCs w:val="22"/>
        </w:rPr>
      </w:pPr>
    </w:p>
    <w:p w:rsidR="009875F1" w:rsidRPr="00B37513" w:rsidRDefault="009875F1" w:rsidP="009875F1">
      <w:pPr>
        <w:rPr>
          <w:rFonts w:ascii="Calibri" w:hAnsi="Calibri"/>
          <w:sz w:val="22"/>
          <w:szCs w:val="22"/>
        </w:rPr>
      </w:pPr>
      <w:r w:rsidRPr="00B37513">
        <w:rPr>
          <w:rFonts w:ascii="Calibri" w:hAnsi="Calibri"/>
          <w:sz w:val="22"/>
          <w:szCs w:val="22"/>
        </w:rPr>
        <w:t>PREP Pearls</w:t>
      </w:r>
    </w:p>
    <w:p w:rsidR="009875F1" w:rsidRPr="00B37513" w:rsidRDefault="009875F1" w:rsidP="009875F1">
      <w:pPr>
        <w:pStyle w:val="ListParagraph"/>
        <w:numPr>
          <w:ilvl w:val="0"/>
          <w:numId w:val="2"/>
        </w:numPr>
        <w:rPr>
          <w:rFonts w:ascii="Calibri" w:hAnsi="Calibri"/>
          <w:sz w:val="22"/>
          <w:szCs w:val="22"/>
        </w:rPr>
      </w:pPr>
      <w:r w:rsidRPr="00B37513">
        <w:rPr>
          <w:rFonts w:ascii="Calibri" w:hAnsi="Calibri"/>
          <w:sz w:val="22"/>
          <w:szCs w:val="22"/>
        </w:rPr>
        <w:t>Although Escherichia coli are normal inhabitants of the human gastrointestinal tract, virulent strains may cause clinical syndromes including diarrheal illness, urinary tract infections, bacteremia, and meningitis.</w:t>
      </w:r>
    </w:p>
    <w:p w:rsidR="009875F1" w:rsidRPr="00B37513" w:rsidRDefault="009875F1" w:rsidP="009875F1">
      <w:pPr>
        <w:pStyle w:val="ListParagraph"/>
        <w:numPr>
          <w:ilvl w:val="0"/>
          <w:numId w:val="2"/>
        </w:numPr>
        <w:rPr>
          <w:rFonts w:ascii="Calibri" w:hAnsi="Calibri"/>
          <w:sz w:val="22"/>
          <w:szCs w:val="22"/>
        </w:rPr>
      </w:pPr>
      <w:r w:rsidRPr="00B37513">
        <w:rPr>
          <w:rFonts w:ascii="Calibri" w:hAnsi="Calibri"/>
          <w:sz w:val="22"/>
          <w:szCs w:val="22"/>
        </w:rPr>
        <w:lastRenderedPageBreak/>
        <w:t>Aminoglycoside monotherapy should not be used for treatment of gram-negative meningitis because this antibiotic class has poor cerebrospinal fluid penetration.</w:t>
      </w:r>
    </w:p>
    <w:p w:rsidR="009875F1" w:rsidRPr="00B37513" w:rsidRDefault="009875F1" w:rsidP="009875F1">
      <w:pPr>
        <w:pStyle w:val="ListParagraph"/>
        <w:numPr>
          <w:ilvl w:val="0"/>
          <w:numId w:val="2"/>
        </w:numPr>
        <w:rPr>
          <w:rFonts w:ascii="Calibri" w:hAnsi="Calibri"/>
          <w:sz w:val="22"/>
          <w:szCs w:val="22"/>
        </w:rPr>
      </w:pPr>
      <w:r w:rsidRPr="00B37513">
        <w:rPr>
          <w:rFonts w:ascii="Calibri" w:hAnsi="Calibri"/>
          <w:sz w:val="22"/>
          <w:szCs w:val="22"/>
        </w:rPr>
        <w:t>Nitrofurantoin should not be used in febrile urinary tract infections in young children because it does not have adequate kidney tissue penetration.</w:t>
      </w:r>
    </w:p>
    <w:p w:rsidR="00AD0D0B" w:rsidRDefault="00AD0D0B"/>
    <w:sectPr w:rsidR="00AD0D0B" w:rsidSect="00347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70B34"/>
    <w:multiLevelType w:val="hybridMultilevel"/>
    <w:tmpl w:val="10D05664"/>
    <w:lvl w:ilvl="0" w:tplc="80EEAEB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57CC7ABC"/>
    <w:multiLevelType w:val="hybridMultilevel"/>
    <w:tmpl w:val="92EA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F1"/>
    <w:rsid w:val="00033D06"/>
    <w:rsid w:val="000356E5"/>
    <w:rsid w:val="0005262B"/>
    <w:rsid w:val="000577B6"/>
    <w:rsid w:val="0006029A"/>
    <w:rsid w:val="00093921"/>
    <w:rsid w:val="00093A7E"/>
    <w:rsid w:val="000C0A46"/>
    <w:rsid w:val="000E1304"/>
    <w:rsid w:val="000E1A79"/>
    <w:rsid w:val="00132E99"/>
    <w:rsid w:val="001356F4"/>
    <w:rsid w:val="001738C7"/>
    <w:rsid w:val="00173FAB"/>
    <w:rsid w:val="001B7859"/>
    <w:rsid w:val="001F7237"/>
    <w:rsid w:val="00206B07"/>
    <w:rsid w:val="002129B0"/>
    <w:rsid w:val="00231CE4"/>
    <w:rsid w:val="00247080"/>
    <w:rsid w:val="00253B7F"/>
    <w:rsid w:val="002549A9"/>
    <w:rsid w:val="00264B25"/>
    <w:rsid w:val="00270DB3"/>
    <w:rsid w:val="00277C78"/>
    <w:rsid w:val="002A621B"/>
    <w:rsid w:val="002B7003"/>
    <w:rsid w:val="002C0674"/>
    <w:rsid w:val="002C7AAF"/>
    <w:rsid w:val="002F2E12"/>
    <w:rsid w:val="003150AE"/>
    <w:rsid w:val="00350115"/>
    <w:rsid w:val="003A7B2F"/>
    <w:rsid w:val="003B4A76"/>
    <w:rsid w:val="003F5379"/>
    <w:rsid w:val="0041022F"/>
    <w:rsid w:val="00452C81"/>
    <w:rsid w:val="00464FBF"/>
    <w:rsid w:val="004A3A4E"/>
    <w:rsid w:val="004E3BFF"/>
    <w:rsid w:val="004F53F6"/>
    <w:rsid w:val="00535E1D"/>
    <w:rsid w:val="005759FA"/>
    <w:rsid w:val="005C2241"/>
    <w:rsid w:val="005C7E8A"/>
    <w:rsid w:val="005D7920"/>
    <w:rsid w:val="005E0CE8"/>
    <w:rsid w:val="0063564A"/>
    <w:rsid w:val="00651353"/>
    <w:rsid w:val="00665BD1"/>
    <w:rsid w:val="00680A44"/>
    <w:rsid w:val="0068332D"/>
    <w:rsid w:val="0068673B"/>
    <w:rsid w:val="006A041A"/>
    <w:rsid w:val="006A4581"/>
    <w:rsid w:val="006D6B03"/>
    <w:rsid w:val="007070D6"/>
    <w:rsid w:val="00727C19"/>
    <w:rsid w:val="00745133"/>
    <w:rsid w:val="00756AD4"/>
    <w:rsid w:val="0079384D"/>
    <w:rsid w:val="00814BAF"/>
    <w:rsid w:val="008859BB"/>
    <w:rsid w:val="008D767E"/>
    <w:rsid w:val="00974145"/>
    <w:rsid w:val="00982C7F"/>
    <w:rsid w:val="00986F11"/>
    <w:rsid w:val="009875F1"/>
    <w:rsid w:val="00991CEE"/>
    <w:rsid w:val="00995831"/>
    <w:rsid w:val="009F559A"/>
    <w:rsid w:val="00A054C1"/>
    <w:rsid w:val="00A070BB"/>
    <w:rsid w:val="00A20EF7"/>
    <w:rsid w:val="00A212D6"/>
    <w:rsid w:val="00A278F5"/>
    <w:rsid w:val="00A35D39"/>
    <w:rsid w:val="00A443BE"/>
    <w:rsid w:val="00A858E9"/>
    <w:rsid w:val="00A90E30"/>
    <w:rsid w:val="00AB4417"/>
    <w:rsid w:val="00AD0D0B"/>
    <w:rsid w:val="00AD7370"/>
    <w:rsid w:val="00AE0C26"/>
    <w:rsid w:val="00AE5E5C"/>
    <w:rsid w:val="00B13BE1"/>
    <w:rsid w:val="00B7792A"/>
    <w:rsid w:val="00C03AA4"/>
    <w:rsid w:val="00C244CA"/>
    <w:rsid w:val="00C371B4"/>
    <w:rsid w:val="00C466EC"/>
    <w:rsid w:val="00C74E56"/>
    <w:rsid w:val="00C75436"/>
    <w:rsid w:val="00CA095C"/>
    <w:rsid w:val="00CB0700"/>
    <w:rsid w:val="00CC5EB1"/>
    <w:rsid w:val="00CC7653"/>
    <w:rsid w:val="00CD1395"/>
    <w:rsid w:val="00CE4834"/>
    <w:rsid w:val="00D164C2"/>
    <w:rsid w:val="00D339AE"/>
    <w:rsid w:val="00D4297B"/>
    <w:rsid w:val="00D52B59"/>
    <w:rsid w:val="00D53A8C"/>
    <w:rsid w:val="00D63581"/>
    <w:rsid w:val="00D9572C"/>
    <w:rsid w:val="00DC680F"/>
    <w:rsid w:val="00DE1DB6"/>
    <w:rsid w:val="00DF264D"/>
    <w:rsid w:val="00E1374A"/>
    <w:rsid w:val="00E137D6"/>
    <w:rsid w:val="00E25D82"/>
    <w:rsid w:val="00E47E0E"/>
    <w:rsid w:val="00E953F9"/>
    <w:rsid w:val="00EC488F"/>
    <w:rsid w:val="00EC749D"/>
    <w:rsid w:val="00F030E1"/>
    <w:rsid w:val="00F15CB8"/>
    <w:rsid w:val="00FC7E10"/>
    <w:rsid w:val="00FE4D7A"/>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3D5F"/>
  <w15:chartTrackingRefBased/>
  <w15:docId w15:val="{9D59C8C1-15C5-4A84-A391-7C4528E06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5F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865</Words>
  <Characters>4935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Wynne</dc:creator>
  <cp:keywords/>
  <dc:description/>
  <cp:lastModifiedBy>Kathryn Wynne</cp:lastModifiedBy>
  <cp:revision>2</cp:revision>
  <dcterms:created xsi:type="dcterms:W3CDTF">2020-05-12T14:04:00Z</dcterms:created>
  <dcterms:modified xsi:type="dcterms:W3CDTF">2020-05-12T14:14:00Z</dcterms:modified>
</cp:coreProperties>
</file>