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01A" w:rsidRPr="006F1CBE" w:rsidRDefault="000B101A" w:rsidP="000B101A">
      <w:pPr>
        <w:spacing w:line="276" w:lineRule="auto"/>
        <w:rPr>
          <w:b/>
          <w:sz w:val="22"/>
          <w:szCs w:val="22"/>
        </w:rPr>
      </w:pPr>
      <w:r w:rsidRPr="006F1CBE">
        <w:rPr>
          <w:b/>
          <w:sz w:val="22"/>
          <w:szCs w:val="22"/>
        </w:rPr>
        <w:t>Hypertension (Objective I</w:t>
      </w:r>
      <w:r>
        <w:rPr>
          <w:b/>
          <w:sz w:val="22"/>
          <w:szCs w:val="22"/>
        </w:rPr>
        <w:t>d</w:t>
      </w:r>
      <w:r w:rsidRPr="006F1CBE">
        <w:rPr>
          <w:b/>
          <w:sz w:val="22"/>
          <w:szCs w:val="22"/>
        </w:rPr>
        <w:t>, I</w:t>
      </w:r>
      <w:r>
        <w:rPr>
          <w:b/>
          <w:sz w:val="22"/>
          <w:szCs w:val="22"/>
        </w:rPr>
        <w:t>e</w:t>
      </w:r>
      <w:r w:rsidRPr="006F1CBE">
        <w:rPr>
          <w:b/>
          <w:sz w:val="22"/>
          <w:szCs w:val="22"/>
        </w:rPr>
        <w:t>, II</w:t>
      </w:r>
      <w:r>
        <w:rPr>
          <w:b/>
          <w:sz w:val="22"/>
          <w:szCs w:val="22"/>
        </w:rPr>
        <w:t>f</w:t>
      </w:r>
      <w:bookmarkStart w:id="0" w:name="_GoBack"/>
      <w:bookmarkEnd w:id="0"/>
      <w:r w:rsidRPr="006F1CBE">
        <w:rPr>
          <w:b/>
          <w:sz w:val="22"/>
          <w:szCs w:val="22"/>
        </w:rPr>
        <w:t>)</w:t>
      </w:r>
    </w:p>
    <w:p w:rsidR="000B101A" w:rsidRPr="006F1CBE" w:rsidRDefault="000B101A" w:rsidP="000B101A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The definition of hypertension in infants from birth to the age of 12 months is not clearly defined. The following percentile graphs were obtained from a </w:t>
      </w:r>
      <w:hyperlink r:id="rId5" w:history="1">
        <w:r w:rsidRPr="006F1CBE">
          <w:rPr>
            <w:rStyle w:val="Hyperlink"/>
            <w:b/>
            <w:bCs/>
            <w:sz w:val="22"/>
            <w:szCs w:val="22"/>
          </w:rPr>
          <w:t>2012 Pediatric Nephrology review on Hypertension in Infancy.</w:t>
        </w:r>
        <w:r w:rsidRPr="006F1CBE">
          <w:rPr>
            <w:rStyle w:val="Hyperlink"/>
            <w:bCs/>
            <w:sz w:val="22"/>
            <w:szCs w:val="22"/>
          </w:rPr>
          <w:t xml:space="preserve"> </w:t>
        </w:r>
      </w:hyperlink>
    </w:p>
    <w:p w:rsidR="000B101A" w:rsidRDefault="000B101A" w:rsidP="000B101A">
      <w:pPr>
        <w:pStyle w:val="p13"/>
        <w:tabs>
          <w:tab w:val="left" w:pos="379"/>
        </w:tabs>
        <w:spacing w:line="276" w:lineRule="auto"/>
        <w:rPr>
          <w:bCs/>
          <w:color w:val="4472C4" w:themeColor="accent1"/>
          <w:sz w:val="22"/>
          <w:szCs w:val="22"/>
        </w:rPr>
      </w:pPr>
      <w:r w:rsidRPr="006F1CBE">
        <w:rPr>
          <w:noProof/>
          <w:color w:val="4472C4" w:themeColor="accent1"/>
          <w:sz w:val="22"/>
          <w:szCs w:val="22"/>
        </w:rPr>
        <w:drawing>
          <wp:inline distT="0" distB="0" distL="0" distR="0" wp14:anchorId="0D6B2018" wp14:editId="61BAEC6B">
            <wp:extent cx="5943600" cy="3537585"/>
            <wp:effectExtent l="0" t="0" r="0" b="5715"/>
            <wp:docPr id="2" name="Picture 2" descr="Fig.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. 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01A" w:rsidRPr="006F1CBE" w:rsidRDefault="000B101A" w:rsidP="000B101A">
      <w:pPr>
        <w:pStyle w:val="p13"/>
        <w:tabs>
          <w:tab w:val="left" w:pos="379"/>
        </w:tabs>
        <w:spacing w:line="276" w:lineRule="auto"/>
        <w:jc w:val="right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>Dionna et al. 2012</w:t>
      </w:r>
    </w:p>
    <w:p w:rsidR="000B101A" w:rsidRPr="006F1CBE" w:rsidRDefault="000B101A" w:rsidP="000B101A">
      <w:pPr>
        <w:pStyle w:val="p13"/>
        <w:tabs>
          <w:tab w:val="left" w:pos="379"/>
        </w:tabs>
        <w:spacing w:line="276" w:lineRule="auto"/>
        <w:rPr>
          <w:bCs/>
          <w:color w:val="4472C4" w:themeColor="accent1"/>
          <w:sz w:val="22"/>
          <w:szCs w:val="22"/>
        </w:rPr>
      </w:pPr>
    </w:p>
    <w:p w:rsidR="000B101A" w:rsidRPr="006F1CBE" w:rsidRDefault="000B101A" w:rsidP="000B101A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Hypertension in children ages 1-13 is defined per percentiles based on sex, age and height. The definition of normal blood pressure, elevated blood pressure, stage 1 hypertension, and stage 2 hypertension in children is outlined in the following table by the American </w:t>
      </w:r>
      <w:hyperlink r:id="rId7" w:anchor="T40" w:history="1">
        <w:r w:rsidRPr="006F1CBE">
          <w:rPr>
            <w:rStyle w:val="Hyperlink"/>
            <w:b/>
            <w:bCs/>
            <w:sz w:val="22"/>
            <w:szCs w:val="22"/>
          </w:rPr>
          <w:t>Academy of Pediatrics 2017</w:t>
        </w:r>
      </w:hyperlink>
      <w:r w:rsidRPr="006F1CBE">
        <w:rPr>
          <w:b/>
          <w:bCs/>
          <w:color w:val="4472C4" w:themeColor="accent1"/>
          <w:sz w:val="22"/>
          <w:szCs w:val="22"/>
        </w:rPr>
        <w:t xml:space="preserve"> </w:t>
      </w:r>
      <w:r w:rsidRPr="006F1CBE">
        <w:rPr>
          <w:bCs/>
          <w:color w:val="000000" w:themeColor="text1"/>
          <w:sz w:val="22"/>
          <w:szCs w:val="22"/>
        </w:rPr>
        <w:t>and</w:t>
      </w:r>
      <w:r w:rsidRPr="006F1CBE">
        <w:rPr>
          <w:b/>
          <w:bCs/>
          <w:color w:val="4472C4" w:themeColor="accent1"/>
          <w:sz w:val="22"/>
          <w:szCs w:val="22"/>
        </w:rPr>
        <w:t xml:space="preserve"> </w:t>
      </w:r>
      <w:hyperlink r:id="rId8" w:anchor=":~:text=After%20the%20publication%20of%20my%20review%20on%20pediatric,Children%20and%20Adolescents%20that%20was%20published%20in%202004" w:history="1">
        <w:r w:rsidRPr="006F1CBE">
          <w:rPr>
            <w:rStyle w:val="Hyperlink"/>
            <w:b/>
            <w:bCs/>
            <w:sz w:val="22"/>
            <w:szCs w:val="22"/>
          </w:rPr>
          <w:t>2019 guidelines</w:t>
        </w:r>
      </w:hyperlink>
      <w:r w:rsidRPr="006F1CBE">
        <w:rPr>
          <w:b/>
          <w:bCs/>
          <w:color w:val="4472C4" w:themeColor="accent1"/>
          <w:sz w:val="22"/>
          <w:szCs w:val="22"/>
        </w:rPr>
        <w:t>.</w:t>
      </w:r>
      <w:r w:rsidRPr="006F1CBE">
        <w:rPr>
          <w:bCs/>
          <w:color w:val="4472C4" w:themeColor="accent1"/>
          <w:sz w:val="22"/>
          <w:szCs w:val="22"/>
        </w:rPr>
        <w:t xml:space="preserve"> </w:t>
      </w:r>
    </w:p>
    <w:p w:rsidR="000B101A" w:rsidRPr="006F1CBE" w:rsidRDefault="000B101A" w:rsidP="000B101A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rStyle w:val="Hyperlink"/>
          <w:bCs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Hypertension in children 13 and older is managed according to the </w:t>
      </w:r>
      <w:r w:rsidRPr="006F1CBE">
        <w:rPr>
          <w:b/>
          <w:bCs/>
          <w:color w:val="4472C4" w:themeColor="accent1"/>
          <w:sz w:val="22"/>
          <w:szCs w:val="22"/>
        </w:rPr>
        <w:fldChar w:fldCharType="begin"/>
      </w:r>
      <w:r w:rsidRPr="006F1CBE">
        <w:rPr>
          <w:b/>
          <w:bCs/>
          <w:color w:val="4472C4" w:themeColor="accent1"/>
          <w:sz w:val="22"/>
          <w:szCs w:val="22"/>
        </w:rPr>
        <w:instrText>HYPERLINK "https://www.onlinejacc.org/content/71/19/e127?_ga=2.265615951.1594609406.1594219822-1400531412.1593703530"</w:instrText>
      </w:r>
      <w:r w:rsidRPr="006F1CBE">
        <w:rPr>
          <w:b/>
          <w:bCs/>
          <w:color w:val="4472C4" w:themeColor="accent1"/>
          <w:sz w:val="22"/>
          <w:szCs w:val="22"/>
        </w:rPr>
        <w:fldChar w:fldCharType="separate"/>
      </w:r>
      <w:r w:rsidRPr="006F1CBE">
        <w:rPr>
          <w:rStyle w:val="Hyperlink"/>
          <w:b/>
          <w:bCs/>
          <w:sz w:val="22"/>
          <w:szCs w:val="22"/>
        </w:rPr>
        <w:t>American Heart Association 2017 guidelines</w:t>
      </w:r>
      <w:r w:rsidRPr="006F1CBE">
        <w:rPr>
          <w:rStyle w:val="Hyperlink"/>
          <w:bCs/>
          <w:sz w:val="22"/>
          <w:szCs w:val="22"/>
        </w:rPr>
        <w:t>.</w:t>
      </w:r>
    </w:p>
    <w:p w:rsidR="000B101A" w:rsidRPr="006F1CBE" w:rsidRDefault="000B101A" w:rsidP="000B101A">
      <w:pPr>
        <w:pStyle w:val="p13"/>
        <w:tabs>
          <w:tab w:val="left" w:pos="379"/>
        </w:tabs>
        <w:spacing w:line="276" w:lineRule="auto"/>
        <w:ind w:left="1080" w:firstLine="0"/>
        <w:rPr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4472C4" w:themeColor="accent1"/>
          <w:sz w:val="22"/>
          <w:szCs w:val="22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92"/>
        <w:gridCol w:w="2758"/>
      </w:tblGrid>
      <w:tr w:rsidR="000B101A" w:rsidRPr="006F1CBE" w:rsidTr="00480693"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sz w:val="22"/>
                <w:szCs w:val="22"/>
              </w:rPr>
              <w:t>For Children Aged 1–&lt;13 y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sz w:val="22"/>
                <w:szCs w:val="22"/>
              </w:rPr>
              <w:t>For Children Aged ≥13 y</w:t>
            </w:r>
          </w:p>
        </w:tc>
      </w:tr>
      <w:tr w:rsidR="000B101A" w:rsidRPr="006F1CBE" w:rsidTr="00480693"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Normal BP: &lt;90th percentile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Normal BP: &lt;120/</w:t>
            </w:r>
            <w:r w:rsidRPr="006F1CBE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</w:rPr>
              <w:t>&lt;</w:t>
            </w:r>
            <w:r w:rsidRPr="006F1CBE">
              <w:rPr>
                <w:rFonts w:eastAsia="Times New Roman"/>
                <w:sz w:val="22"/>
                <w:szCs w:val="22"/>
              </w:rPr>
              <w:t>80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</w:t>
            </w:r>
          </w:p>
        </w:tc>
      </w:tr>
      <w:tr w:rsidR="000B101A" w:rsidRPr="006F1CBE" w:rsidTr="00480693"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Elevated BP: ≥90th percentile to &lt;95th percentile or 120/80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 to &lt;95th percentile (whichever is lower)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Elevated BP: 120/</w:t>
            </w:r>
            <w:r w:rsidRPr="006F1CBE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</w:rPr>
              <w:t>&lt;</w:t>
            </w:r>
            <w:r w:rsidRPr="006F1CBE">
              <w:rPr>
                <w:rFonts w:eastAsia="Times New Roman"/>
                <w:sz w:val="22"/>
                <w:szCs w:val="22"/>
              </w:rPr>
              <w:t>80 to 129/</w:t>
            </w:r>
            <w:r w:rsidRPr="006F1CBE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</w:rPr>
              <w:t>&lt;</w:t>
            </w:r>
            <w:r w:rsidRPr="006F1CBE">
              <w:rPr>
                <w:rFonts w:eastAsia="Times New Roman"/>
                <w:sz w:val="22"/>
                <w:szCs w:val="22"/>
              </w:rPr>
              <w:t>80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</w:t>
            </w:r>
          </w:p>
        </w:tc>
      </w:tr>
      <w:tr w:rsidR="000B101A" w:rsidRPr="006F1CBE" w:rsidTr="00480693"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Stage 1 HTN: ≥95th percentile to &lt;95th percentile + 12 mmHg, or 130/80 to 139/89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 (whichever is lower)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Stage 1 HTN: 130/80 to 139/89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</w:t>
            </w:r>
          </w:p>
        </w:tc>
      </w:tr>
      <w:tr w:rsidR="000B101A" w:rsidRPr="006F1CBE" w:rsidTr="00480693"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Stage 2 HTN: ≥95th percentile + 12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Hg, or ≥140/90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 (whichever is lower)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F1CBE">
              <w:rPr>
                <w:rFonts w:eastAsia="Times New Roman"/>
                <w:sz w:val="22"/>
                <w:szCs w:val="22"/>
              </w:rPr>
              <w:t>Stage 2 HTN: ≥140/90 mm</w:t>
            </w:r>
            <w:r w:rsidRPr="006F1CBE">
              <w:rPr>
                <w:rFonts w:eastAsia="Calibri"/>
                <w:sz w:val="22"/>
                <w:szCs w:val="22"/>
              </w:rPr>
              <w:t> </w:t>
            </w:r>
            <w:r w:rsidRPr="006F1CBE">
              <w:rPr>
                <w:rFonts w:eastAsia="Times New Roman"/>
                <w:sz w:val="22"/>
                <w:szCs w:val="22"/>
              </w:rPr>
              <w:t>Hg</w:t>
            </w:r>
          </w:p>
        </w:tc>
      </w:tr>
    </w:tbl>
    <w:p w:rsidR="000B101A" w:rsidRPr="006F1CBE" w:rsidRDefault="000B101A" w:rsidP="000B101A">
      <w:pPr>
        <w:pStyle w:val="p13"/>
        <w:tabs>
          <w:tab w:val="left" w:pos="379"/>
        </w:tabs>
        <w:spacing w:line="276" w:lineRule="auto"/>
        <w:ind w:left="0" w:firstLine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Flynn et al. 2017</w:t>
      </w:r>
    </w:p>
    <w:p w:rsidR="000B101A" w:rsidRPr="006F1CBE" w:rsidRDefault="000B101A" w:rsidP="000B101A">
      <w:pPr>
        <w:pStyle w:val="p13"/>
        <w:numPr>
          <w:ilvl w:val="0"/>
          <w:numId w:val="2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 xml:space="preserve">Blood pressure percentiles are determined based on age, height, and sex.  Please see the following </w:t>
      </w:r>
      <w:r w:rsidRPr="006F1CBE">
        <w:rPr>
          <w:bCs/>
          <w:sz w:val="22"/>
          <w:szCs w:val="22"/>
        </w:rPr>
        <w:lastRenderedPageBreak/>
        <w:t xml:space="preserve">percentile tables for </w:t>
      </w:r>
      <w:hyperlink r:id="rId9" w:history="1">
        <w:r w:rsidRPr="006F1CBE">
          <w:rPr>
            <w:rStyle w:val="Hyperlink"/>
            <w:b/>
            <w:bCs/>
            <w:sz w:val="22"/>
            <w:szCs w:val="22"/>
          </w:rPr>
          <w:t>boys</w:t>
        </w:r>
      </w:hyperlink>
      <w:r w:rsidRPr="006F1CBE">
        <w:rPr>
          <w:bCs/>
          <w:sz w:val="22"/>
          <w:szCs w:val="22"/>
        </w:rPr>
        <w:t xml:space="preserve"> and </w:t>
      </w:r>
      <w:hyperlink r:id="rId10" w:history="1">
        <w:r w:rsidRPr="006F1CBE">
          <w:rPr>
            <w:rStyle w:val="Hyperlink"/>
            <w:b/>
            <w:bCs/>
            <w:sz w:val="22"/>
            <w:szCs w:val="22"/>
          </w:rPr>
          <w:t>girls.</w:t>
        </w:r>
      </w:hyperlink>
      <w:r w:rsidRPr="006F1CBE">
        <w:rPr>
          <w:b/>
          <w:bCs/>
          <w:color w:val="4472C4" w:themeColor="accent1"/>
          <w:sz w:val="22"/>
          <w:szCs w:val="22"/>
        </w:rPr>
        <w:t xml:space="preserve"> </w:t>
      </w:r>
    </w:p>
    <w:p w:rsidR="000B101A" w:rsidRPr="006F1CBE" w:rsidRDefault="000B101A" w:rsidP="000B101A">
      <w:pPr>
        <w:pStyle w:val="p13"/>
        <w:numPr>
          <w:ilvl w:val="0"/>
          <w:numId w:val="2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>The evaluation of hypertension is outlined in the following table from the AAP 2017 guidelines. All patients with sustained hypertension will have a diagnostic evaluation that includes a urinalysis, chemistry panel, and lipid profile. All patients &lt;6 years of age, with abnormal urinalysis, or abnormal renal function will also have a renal ultrasound. In patients with a BMI &gt;95</w:t>
      </w:r>
      <w:r w:rsidRPr="006F1CBE">
        <w:rPr>
          <w:bCs/>
          <w:sz w:val="22"/>
          <w:szCs w:val="22"/>
          <w:vertAlign w:val="superscript"/>
        </w:rPr>
        <w:t>th</w:t>
      </w:r>
      <w:r w:rsidRPr="006F1CBE">
        <w:rPr>
          <w:bCs/>
          <w:sz w:val="22"/>
          <w:szCs w:val="22"/>
        </w:rPr>
        <w:t xml:space="preserve"> %, the work up will additional including a hemoglobin A1c, AST/ ALT, and fasting lipid panel. Other diagnostic tests to consider if warranted by patient history include TSH, drug screen, polysomnogram for sleep apnea, or a CBC. For more information on the diagnostic evaluation of hypertension, please see the following </w:t>
      </w:r>
      <w:hyperlink r:id="rId11" w:history="1">
        <w:r w:rsidRPr="006F1CBE">
          <w:rPr>
            <w:rStyle w:val="Hyperlink"/>
            <w:b/>
            <w:bCs/>
            <w:sz w:val="22"/>
            <w:szCs w:val="22"/>
          </w:rPr>
          <w:t>summary of the 2017 AAP guidelines.</w:t>
        </w:r>
      </w:hyperlink>
      <w:r w:rsidRPr="006F1CBE">
        <w:rPr>
          <w:bCs/>
          <w:color w:val="4472C4" w:themeColor="accent1"/>
          <w:sz w:val="22"/>
          <w:szCs w:val="22"/>
        </w:rPr>
        <w:t xml:space="preserve"> 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1093"/>
        <w:gridCol w:w="1561"/>
        <w:gridCol w:w="1346"/>
        <w:gridCol w:w="1238"/>
        <w:gridCol w:w="864"/>
        <w:gridCol w:w="1269"/>
        <w:gridCol w:w="1237"/>
        <w:gridCol w:w="1446"/>
      </w:tblGrid>
      <w:tr w:rsidR="000B101A" w:rsidRPr="006F1CBE" w:rsidTr="00480693">
        <w:trPr>
          <w:trHeight w:val="680"/>
        </w:trPr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BP Category 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BP Screening Schedule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Lifestyle Counseling (Weight and Nutrition)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Check Upper and Lower Extremity BP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ABPM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Diagnostic Evaluation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Initiate Treatment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Consider Subspecialty Referral</w:t>
            </w:r>
          </w:p>
        </w:tc>
      </w:tr>
      <w:tr w:rsidR="000B101A" w:rsidRPr="006F1CBE" w:rsidTr="00480693">
        <w:trPr>
          <w:trHeight w:val="239"/>
        </w:trPr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Normal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Annual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</w:tr>
      <w:tr w:rsidR="000B101A" w:rsidRPr="006F1CBE" w:rsidTr="00480693">
        <w:trPr>
          <w:trHeight w:val="239"/>
        </w:trPr>
        <w:tc>
          <w:tcPr>
            <w:tcW w:w="0" w:type="auto"/>
            <w:vMerge w:val="restart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Elevated BP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Initial measurement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</w:tr>
      <w:tr w:rsidR="000B101A" w:rsidRPr="006F1CBE" w:rsidTr="00480693">
        <w:trPr>
          <w:trHeight w:val="144"/>
        </w:trPr>
        <w:tc>
          <w:tcPr>
            <w:tcW w:w="0" w:type="auto"/>
            <w:vMerge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Second measurement: repeat in 6 </w:t>
            </w:r>
            <w:proofErr w:type="spellStart"/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mo</w:t>
            </w:r>
            <w:proofErr w:type="spellEnd"/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</w:tr>
      <w:tr w:rsidR="000B101A" w:rsidRPr="006F1CBE" w:rsidTr="00480693">
        <w:trPr>
          <w:trHeight w:val="144"/>
        </w:trPr>
        <w:tc>
          <w:tcPr>
            <w:tcW w:w="0" w:type="auto"/>
            <w:vMerge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Third measurement: repeat in 6 </w:t>
            </w:r>
            <w:proofErr w:type="spellStart"/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mo</w:t>
            </w:r>
            <w:proofErr w:type="spellEnd"/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</w:tr>
      <w:tr w:rsidR="000B101A" w:rsidRPr="006F1CBE" w:rsidTr="00480693">
        <w:trPr>
          <w:trHeight w:val="239"/>
        </w:trPr>
        <w:tc>
          <w:tcPr>
            <w:tcW w:w="0" w:type="auto"/>
            <w:vMerge w:val="restart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Stage 1 HTN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Initial measurement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</w:tr>
      <w:tr w:rsidR="000B101A" w:rsidRPr="006F1CBE" w:rsidTr="00480693">
        <w:trPr>
          <w:trHeight w:val="144"/>
        </w:trPr>
        <w:tc>
          <w:tcPr>
            <w:tcW w:w="0" w:type="auto"/>
            <w:vMerge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Second measurement: repeat in 1–2 </w:t>
            </w:r>
            <w:proofErr w:type="spellStart"/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</w:tr>
      <w:tr w:rsidR="000B101A" w:rsidRPr="006F1CBE" w:rsidTr="00480693">
        <w:trPr>
          <w:trHeight w:val="144"/>
        </w:trPr>
        <w:tc>
          <w:tcPr>
            <w:tcW w:w="0" w:type="auto"/>
            <w:vMerge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Third measurement: repeat in 3 </w:t>
            </w:r>
            <w:proofErr w:type="spellStart"/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mo</w:t>
            </w:r>
            <w:proofErr w:type="spellEnd"/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</w:tr>
      <w:tr w:rsidR="000B101A" w:rsidRPr="006F1CBE" w:rsidTr="00480693">
        <w:trPr>
          <w:trHeight w:val="239"/>
        </w:trPr>
        <w:tc>
          <w:tcPr>
            <w:tcW w:w="0" w:type="auto"/>
            <w:vMerge w:val="restart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Stage 2 HTN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Initial measurement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</w:tr>
      <w:tr w:rsidR="000B101A" w:rsidRPr="006F1CBE" w:rsidTr="00480693">
        <w:trPr>
          <w:trHeight w:val="1380"/>
        </w:trPr>
        <w:tc>
          <w:tcPr>
            <w:tcW w:w="0" w:type="auto"/>
            <w:vMerge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Second measurement: repeat, refer to specialty care within 1 </w:t>
            </w:r>
            <w:proofErr w:type="spellStart"/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—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0" w:type="auto"/>
            <w:hideMark/>
          </w:tcPr>
          <w:p w:rsidR="000B101A" w:rsidRPr="006F1CBE" w:rsidRDefault="000B101A" w:rsidP="00480693">
            <w:pPr>
              <w:spacing w:line="276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6F1CBE">
              <w:rPr>
                <w:rFonts w:eastAsia="Times New Roman"/>
                <w:color w:val="000000" w:themeColor="text1"/>
                <w:sz w:val="22"/>
                <w:szCs w:val="22"/>
              </w:rPr>
              <w:t>X</w:t>
            </w:r>
          </w:p>
        </w:tc>
      </w:tr>
    </w:tbl>
    <w:p w:rsidR="000B101A" w:rsidRDefault="000B101A" w:rsidP="000B101A">
      <w:pPr>
        <w:pStyle w:val="p13"/>
        <w:tabs>
          <w:tab w:val="left" w:pos="379"/>
        </w:tabs>
        <w:spacing w:line="276" w:lineRule="auto"/>
        <w:ind w:left="720" w:firstLine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Flynn et al. 2017</w:t>
      </w:r>
    </w:p>
    <w:p w:rsidR="000B101A" w:rsidRPr="006F1CBE" w:rsidRDefault="000B101A" w:rsidP="000B101A">
      <w:pPr>
        <w:pStyle w:val="p13"/>
        <w:numPr>
          <w:ilvl w:val="0"/>
          <w:numId w:val="2"/>
        </w:numPr>
        <w:tabs>
          <w:tab w:val="left" w:pos="379"/>
        </w:tabs>
        <w:spacing w:line="276" w:lineRule="auto"/>
        <w:rPr>
          <w:bCs/>
          <w:sz w:val="22"/>
          <w:szCs w:val="22"/>
        </w:rPr>
      </w:pPr>
      <w:r w:rsidRPr="006F1CBE">
        <w:rPr>
          <w:bCs/>
          <w:sz w:val="22"/>
          <w:szCs w:val="22"/>
        </w:rPr>
        <w:t xml:space="preserve">The treatment of hypertension consists of both lifestyle and pharmacologic interventions. Lifestyle interventions include a healthy, low-sodium diet (&lt;2 grams/day) and proper sleep. Patients should be counseled on the </w:t>
      </w:r>
      <w:hyperlink r:id="rId12" w:history="1">
        <w:r w:rsidRPr="006F1CBE">
          <w:rPr>
            <w:rStyle w:val="Hyperlink"/>
            <w:b/>
            <w:bCs/>
            <w:sz w:val="22"/>
            <w:szCs w:val="22"/>
          </w:rPr>
          <w:t>dietary approaches to stop hypertension diet</w:t>
        </w:r>
      </w:hyperlink>
      <w:r w:rsidRPr="006F1CBE">
        <w:rPr>
          <w:bCs/>
          <w:sz w:val="22"/>
          <w:szCs w:val="22"/>
        </w:rPr>
        <w:t xml:space="preserve">, also known as the DASH diet. Pharmacologic treatment in pediatrics consists of an ACE inhibitor, </w:t>
      </w:r>
      <w:r w:rsidRPr="006F1CBE">
        <w:rPr>
          <w:bCs/>
          <w:sz w:val="22"/>
          <w:szCs w:val="22"/>
        </w:rPr>
        <w:lastRenderedPageBreak/>
        <w:t xml:space="preserve">angiotensin receptor blocker, calcium channel blocker, or a thiazide diuretic. </w:t>
      </w:r>
      <w:r w:rsidRPr="006F1CBE">
        <w:rPr>
          <w:b/>
          <w:bCs/>
          <w:sz w:val="22"/>
          <w:szCs w:val="22"/>
        </w:rPr>
        <w:t>If a patient presents with a blood pressure reading &gt;30 mmHg above the 95</w:t>
      </w:r>
      <w:r w:rsidRPr="006F1CBE">
        <w:rPr>
          <w:b/>
          <w:bCs/>
          <w:sz w:val="22"/>
          <w:szCs w:val="22"/>
          <w:vertAlign w:val="superscript"/>
        </w:rPr>
        <w:t>th</w:t>
      </w:r>
      <w:r w:rsidRPr="006F1CBE">
        <w:rPr>
          <w:b/>
          <w:bCs/>
          <w:sz w:val="22"/>
          <w:szCs w:val="22"/>
        </w:rPr>
        <w:t xml:space="preserve"> percentile, &gt;180/120, or symptomatic stage 2 hypertension (headache, visual changes, dizziness, or vomiting) please send the patient to the emergency room for immediate action (AAP 2017 Guidelines).</w:t>
      </w:r>
      <w:r w:rsidRPr="006F1CBE">
        <w:rPr>
          <w:bCs/>
          <w:sz w:val="22"/>
          <w:szCs w:val="22"/>
        </w:rPr>
        <w:t xml:space="preserve">  </w:t>
      </w:r>
    </w:p>
    <w:p w:rsidR="00AD0D0B" w:rsidRDefault="00AD0D0B"/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D5B76"/>
    <w:multiLevelType w:val="hybridMultilevel"/>
    <w:tmpl w:val="92EC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06B7F"/>
    <w:multiLevelType w:val="hybridMultilevel"/>
    <w:tmpl w:val="D496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1A"/>
    <w:rsid w:val="00033D06"/>
    <w:rsid w:val="000356E5"/>
    <w:rsid w:val="0005262B"/>
    <w:rsid w:val="000577B6"/>
    <w:rsid w:val="0006029A"/>
    <w:rsid w:val="00093921"/>
    <w:rsid w:val="00093A7E"/>
    <w:rsid w:val="000B101A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757A"/>
    <w:rsid w:val="008859BB"/>
    <w:rsid w:val="008A79BD"/>
    <w:rsid w:val="008B7A09"/>
    <w:rsid w:val="008D6A28"/>
    <w:rsid w:val="008D767E"/>
    <w:rsid w:val="0093599C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D92F"/>
  <w15:chartTrackingRefBased/>
  <w15:docId w15:val="{5BAA8CCB-55B5-40E7-B6C6-33E6B89B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0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0B101A"/>
    <w:pPr>
      <w:widowControl w:val="0"/>
      <w:autoSpaceDE w:val="0"/>
      <w:autoSpaceDN w:val="0"/>
      <w:adjustRightInd w:val="0"/>
      <w:ind w:left="1061" w:hanging="379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B101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inreview.aappublications.org/content/40/7/3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iatrics.aappublications.org/content/140/3/e20171904.long?utm_medium=referral&amp;utm_source=r360&amp;utm_campaign=pediatricnephrology" TargetMode="External"/><Relationship Id="rId12" Type="http://schemas.openxmlformats.org/officeDocument/2006/relationships/hyperlink" Target="https://www.nhlbi.nih.gov/health-topics/dash-eating-plan?utm_medium=referral&amp;utm_source=r360&amp;utm_campaign=pediatricnephr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file:///C:\Users\wynnek\AppData\Local\Microsoft\Windows\Temporary%20Internet%20Files\Content.Outlook\NY1W829C\Desktop\Blood%20pressure%20guidelines%20summary.docx" TargetMode="External"/><Relationship Id="rId5" Type="http://schemas.openxmlformats.org/officeDocument/2006/relationships/hyperlink" Target="https://link.springer.com/article/10.1007/s00467-010-1755-z" TargetMode="External"/><Relationship Id="rId10" Type="http://schemas.openxmlformats.org/officeDocument/2006/relationships/hyperlink" Target="https://www.uptodate.com/contents/image?topicKey=PEDS%2F6087&amp;view=machineLearning&amp;search=blood%20pressure&amp;sectionRank=2&amp;imageKey=PEDS%2F52646&amp;rank=1~150&amp;source=machineLearning&amp;sp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odate.com/contents/image?topicKey=PEDS%2F6087&amp;view=machineLearning&amp;search=blood%20pressure&amp;sectionRank=1&amp;imageKey=PEDS%2F63856&amp;rank=1~150&amp;source=machineLearning&amp;sp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2020-11-17T02:31:00Z</dcterms:created>
  <dcterms:modified xsi:type="dcterms:W3CDTF">2020-11-17T02:32:00Z</dcterms:modified>
</cp:coreProperties>
</file>